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2E70C5" w:rsidRPr="002E70C5" w:rsidTr="002E70C5">
        <w:trPr>
          <w:tblCellSpacing w:w="0" w:type="dxa"/>
        </w:trPr>
        <w:tc>
          <w:tcPr>
            <w:tcW w:w="500" w:type="pct"/>
            <w:hideMark/>
          </w:tcPr>
          <w:p w:rsidR="002E70C5" w:rsidRPr="002E70C5" w:rsidRDefault="002E70C5" w:rsidP="002E70C5">
            <w:pPr>
              <w:widowControl/>
              <w:spacing w:line="300" w:lineRule="exact"/>
              <w:jc w:val="left"/>
              <w:rPr>
                <w:rFonts w:ascii="宋体" w:eastAsia="宋体" w:hAnsi="宋体" w:cs="宋体"/>
                <w:b/>
                <w:bCs/>
                <w:color w:val="4B4B4B"/>
                <w:kern w:val="0"/>
                <w:szCs w:val="21"/>
              </w:rPr>
            </w:pPr>
            <w:r w:rsidRPr="002E70C5">
              <w:rPr>
                <w:rFonts w:ascii="宋体" w:eastAsia="宋体" w:hAnsi="宋体" w:cs="宋体" w:hint="eastAsia"/>
                <w:b/>
                <w:bCs/>
                <w:color w:val="4B4B4B"/>
                <w:kern w:val="0"/>
                <w:szCs w:val="21"/>
              </w:rPr>
              <w:t>信息名称：</w:t>
            </w:r>
          </w:p>
        </w:tc>
        <w:tc>
          <w:tcPr>
            <w:tcW w:w="0" w:type="auto"/>
            <w:gridSpan w:val="5"/>
            <w:hideMark/>
          </w:tcPr>
          <w:p w:rsidR="002E70C5" w:rsidRPr="002E70C5" w:rsidRDefault="002E70C5" w:rsidP="002E70C5">
            <w:pPr>
              <w:widowControl/>
              <w:spacing w:line="300" w:lineRule="exact"/>
              <w:jc w:val="left"/>
              <w:rPr>
                <w:rFonts w:ascii="宋体" w:eastAsia="宋体" w:hAnsi="宋体" w:cs="宋体" w:hint="eastAsia"/>
                <w:color w:val="4B4B4B"/>
                <w:kern w:val="0"/>
                <w:szCs w:val="21"/>
              </w:rPr>
            </w:pPr>
            <w:r w:rsidRPr="002E70C5">
              <w:rPr>
                <w:rFonts w:ascii="宋体" w:eastAsia="宋体" w:hAnsi="宋体" w:cs="宋体" w:hint="eastAsia"/>
                <w:color w:val="4B4B4B"/>
                <w:kern w:val="0"/>
                <w:szCs w:val="21"/>
              </w:rPr>
              <w:t>教育部关于印发《本科毕业论文（设计）抽检办法（试行）》的通知</w:t>
            </w:r>
          </w:p>
        </w:tc>
      </w:tr>
      <w:tr w:rsidR="002E70C5" w:rsidRPr="002E70C5" w:rsidTr="002E70C5">
        <w:trPr>
          <w:tblCellSpacing w:w="0" w:type="dxa"/>
        </w:trPr>
        <w:tc>
          <w:tcPr>
            <w:tcW w:w="500" w:type="pct"/>
            <w:hideMark/>
          </w:tcPr>
          <w:p w:rsidR="002E70C5" w:rsidRPr="002E70C5" w:rsidRDefault="002E70C5" w:rsidP="002E70C5">
            <w:pPr>
              <w:widowControl/>
              <w:spacing w:line="300" w:lineRule="exact"/>
              <w:jc w:val="left"/>
              <w:rPr>
                <w:rFonts w:ascii="宋体" w:eastAsia="宋体" w:hAnsi="宋体" w:cs="宋体" w:hint="eastAsia"/>
                <w:b/>
                <w:bCs/>
                <w:color w:val="4B4B4B"/>
                <w:kern w:val="0"/>
                <w:szCs w:val="21"/>
              </w:rPr>
            </w:pPr>
            <w:r w:rsidRPr="002E70C5">
              <w:rPr>
                <w:rFonts w:ascii="宋体" w:eastAsia="宋体" w:hAnsi="宋体" w:cs="宋体" w:hint="eastAsia"/>
                <w:b/>
                <w:bCs/>
                <w:color w:val="4B4B4B"/>
                <w:kern w:val="0"/>
                <w:szCs w:val="21"/>
              </w:rPr>
              <w:t>信息索引：</w:t>
            </w:r>
          </w:p>
        </w:tc>
        <w:tc>
          <w:tcPr>
            <w:tcW w:w="1000" w:type="pct"/>
            <w:hideMark/>
          </w:tcPr>
          <w:p w:rsidR="002E70C5" w:rsidRPr="002E70C5" w:rsidRDefault="002E70C5" w:rsidP="002E70C5">
            <w:pPr>
              <w:widowControl/>
              <w:spacing w:line="300" w:lineRule="exact"/>
              <w:jc w:val="left"/>
              <w:rPr>
                <w:rFonts w:ascii="宋体" w:eastAsia="宋体" w:hAnsi="宋体" w:cs="宋体" w:hint="eastAsia"/>
                <w:color w:val="4B4B4B"/>
                <w:kern w:val="0"/>
                <w:szCs w:val="21"/>
              </w:rPr>
            </w:pPr>
            <w:r w:rsidRPr="002E70C5">
              <w:rPr>
                <w:rFonts w:ascii="宋体" w:eastAsia="宋体" w:hAnsi="宋体" w:cs="宋体" w:hint="eastAsia"/>
                <w:color w:val="4B4B4B"/>
                <w:kern w:val="0"/>
                <w:szCs w:val="21"/>
              </w:rPr>
              <w:t>360A11-04-2021-0001-1</w:t>
            </w:r>
          </w:p>
        </w:tc>
        <w:tc>
          <w:tcPr>
            <w:tcW w:w="500" w:type="pct"/>
            <w:hideMark/>
          </w:tcPr>
          <w:p w:rsidR="002E70C5" w:rsidRPr="002E70C5" w:rsidRDefault="002E70C5" w:rsidP="002E70C5">
            <w:pPr>
              <w:widowControl/>
              <w:spacing w:line="300" w:lineRule="exact"/>
              <w:jc w:val="left"/>
              <w:rPr>
                <w:rFonts w:ascii="宋体" w:eastAsia="宋体" w:hAnsi="宋体" w:cs="宋体" w:hint="eastAsia"/>
                <w:b/>
                <w:bCs/>
                <w:color w:val="4B4B4B"/>
                <w:kern w:val="0"/>
                <w:szCs w:val="21"/>
              </w:rPr>
            </w:pPr>
            <w:r w:rsidRPr="002E70C5">
              <w:rPr>
                <w:rFonts w:ascii="宋体" w:eastAsia="宋体" w:hAnsi="宋体" w:cs="宋体" w:hint="eastAsia"/>
                <w:b/>
                <w:bCs/>
                <w:color w:val="4B4B4B"/>
                <w:kern w:val="0"/>
                <w:szCs w:val="21"/>
              </w:rPr>
              <w:t>生成日期：</w:t>
            </w:r>
          </w:p>
        </w:tc>
        <w:tc>
          <w:tcPr>
            <w:tcW w:w="1050" w:type="pct"/>
            <w:hideMark/>
          </w:tcPr>
          <w:p w:rsidR="002E70C5" w:rsidRPr="002E70C5" w:rsidRDefault="002E70C5" w:rsidP="002E70C5">
            <w:pPr>
              <w:widowControl/>
              <w:spacing w:line="300" w:lineRule="exact"/>
              <w:jc w:val="left"/>
              <w:rPr>
                <w:rFonts w:ascii="宋体" w:eastAsia="宋体" w:hAnsi="宋体" w:cs="宋体" w:hint="eastAsia"/>
                <w:color w:val="4B4B4B"/>
                <w:kern w:val="0"/>
                <w:szCs w:val="21"/>
              </w:rPr>
            </w:pPr>
            <w:r w:rsidRPr="002E70C5">
              <w:rPr>
                <w:rFonts w:ascii="宋体" w:eastAsia="宋体" w:hAnsi="宋体" w:cs="宋体" w:hint="eastAsia"/>
                <w:color w:val="4B4B4B"/>
                <w:kern w:val="0"/>
                <w:szCs w:val="21"/>
              </w:rPr>
              <w:t>2021-01-04</w:t>
            </w:r>
          </w:p>
        </w:tc>
        <w:tc>
          <w:tcPr>
            <w:tcW w:w="500" w:type="pct"/>
            <w:hideMark/>
          </w:tcPr>
          <w:p w:rsidR="002E70C5" w:rsidRPr="002E70C5" w:rsidRDefault="002E70C5" w:rsidP="002E70C5">
            <w:pPr>
              <w:widowControl/>
              <w:spacing w:line="300" w:lineRule="exact"/>
              <w:jc w:val="left"/>
              <w:rPr>
                <w:rFonts w:ascii="宋体" w:eastAsia="宋体" w:hAnsi="宋体" w:cs="宋体" w:hint="eastAsia"/>
                <w:b/>
                <w:bCs/>
                <w:color w:val="4B4B4B"/>
                <w:kern w:val="0"/>
                <w:szCs w:val="21"/>
              </w:rPr>
            </w:pPr>
            <w:r w:rsidRPr="002E70C5">
              <w:rPr>
                <w:rFonts w:ascii="宋体" w:eastAsia="宋体" w:hAnsi="宋体" w:cs="宋体" w:hint="eastAsia"/>
                <w:b/>
                <w:bCs/>
                <w:color w:val="4B4B4B"/>
                <w:kern w:val="0"/>
                <w:szCs w:val="21"/>
              </w:rPr>
              <w:t>发文机构：</w:t>
            </w:r>
          </w:p>
        </w:tc>
        <w:tc>
          <w:tcPr>
            <w:tcW w:w="1700" w:type="pct"/>
            <w:hideMark/>
          </w:tcPr>
          <w:p w:rsidR="002E70C5" w:rsidRPr="002E70C5" w:rsidRDefault="002E70C5" w:rsidP="002E70C5">
            <w:pPr>
              <w:widowControl/>
              <w:spacing w:line="300" w:lineRule="exact"/>
              <w:jc w:val="left"/>
              <w:rPr>
                <w:rFonts w:ascii="宋体" w:eastAsia="宋体" w:hAnsi="宋体" w:cs="宋体" w:hint="eastAsia"/>
                <w:color w:val="4B4B4B"/>
                <w:kern w:val="0"/>
                <w:szCs w:val="21"/>
              </w:rPr>
            </w:pPr>
            <w:r w:rsidRPr="002E70C5">
              <w:rPr>
                <w:rFonts w:ascii="宋体" w:eastAsia="宋体" w:hAnsi="宋体" w:cs="宋体" w:hint="eastAsia"/>
                <w:color w:val="4B4B4B"/>
                <w:kern w:val="0"/>
                <w:szCs w:val="21"/>
              </w:rPr>
              <w:t>中华人民共和国教育部</w:t>
            </w:r>
          </w:p>
        </w:tc>
      </w:tr>
      <w:tr w:rsidR="002E70C5" w:rsidRPr="002E70C5" w:rsidTr="002E70C5">
        <w:trPr>
          <w:tblCellSpacing w:w="0" w:type="dxa"/>
        </w:trPr>
        <w:tc>
          <w:tcPr>
            <w:tcW w:w="500" w:type="pct"/>
            <w:hideMark/>
          </w:tcPr>
          <w:p w:rsidR="002E70C5" w:rsidRPr="002E70C5" w:rsidRDefault="002E70C5" w:rsidP="002E70C5">
            <w:pPr>
              <w:widowControl/>
              <w:spacing w:line="300" w:lineRule="exact"/>
              <w:jc w:val="left"/>
              <w:rPr>
                <w:rFonts w:ascii="宋体" w:eastAsia="宋体" w:hAnsi="宋体" w:cs="宋体" w:hint="eastAsia"/>
                <w:b/>
                <w:bCs/>
                <w:color w:val="4B4B4B"/>
                <w:kern w:val="0"/>
                <w:szCs w:val="21"/>
              </w:rPr>
            </w:pPr>
            <w:r w:rsidRPr="002E70C5">
              <w:rPr>
                <w:rFonts w:ascii="宋体" w:eastAsia="宋体" w:hAnsi="宋体" w:cs="宋体" w:hint="eastAsia"/>
                <w:b/>
                <w:bCs/>
                <w:color w:val="4B4B4B"/>
                <w:kern w:val="0"/>
                <w:szCs w:val="21"/>
              </w:rPr>
              <w:t>发文字号：</w:t>
            </w:r>
          </w:p>
        </w:tc>
        <w:tc>
          <w:tcPr>
            <w:tcW w:w="0" w:type="auto"/>
            <w:hideMark/>
          </w:tcPr>
          <w:p w:rsidR="002E70C5" w:rsidRPr="002E70C5" w:rsidRDefault="002E70C5" w:rsidP="002E70C5">
            <w:pPr>
              <w:widowControl/>
              <w:spacing w:line="300" w:lineRule="exact"/>
              <w:jc w:val="left"/>
              <w:rPr>
                <w:rFonts w:ascii="宋体" w:eastAsia="宋体" w:hAnsi="宋体" w:cs="宋体" w:hint="eastAsia"/>
                <w:color w:val="4B4B4B"/>
                <w:kern w:val="0"/>
                <w:szCs w:val="21"/>
              </w:rPr>
            </w:pPr>
            <w:r w:rsidRPr="002E70C5">
              <w:rPr>
                <w:rFonts w:ascii="宋体" w:eastAsia="宋体" w:hAnsi="宋体" w:cs="宋体" w:hint="eastAsia"/>
                <w:color w:val="4B4B4B"/>
                <w:kern w:val="0"/>
                <w:szCs w:val="21"/>
              </w:rPr>
              <w:t>教督〔2020〕5号</w:t>
            </w:r>
          </w:p>
        </w:tc>
        <w:tc>
          <w:tcPr>
            <w:tcW w:w="500" w:type="pct"/>
            <w:hideMark/>
          </w:tcPr>
          <w:p w:rsidR="002E70C5" w:rsidRPr="002E70C5" w:rsidRDefault="002E70C5" w:rsidP="002E70C5">
            <w:pPr>
              <w:widowControl/>
              <w:spacing w:line="300" w:lineRule="exact"/>
              <w:jc w:val="left"/>
              <w:rPr>
                <w:rFonts w:ascii="宋体" w:eastAsia="宋体" w:hAnsi="宋体" w:cs="宋体" w:hint="eastAsia"/>
                <w:b/>
                <w:bCs/>
                <w:color w:val="4B4B4B"/>
                <w:kern w:val="0"/>
                <w:szCs w:val="21"/>
              </w:rPr>
            </w:pPr>
            <w:r w:rsidRPr="002E70C5">
              <w:rPr>
                <w:rFonts w:ascii="宋体" w:eastAsia="宋体" w:hAnsi="宋体" w:cs="宋体" w:hint="eastAsia"/>
                <w:b/>
                <w:bCs/>
                <w:color w:val="4B4B4B"/>
                <w:kern w:val="0"/>
                <w:szCs w:val="21"/>
              </w:rPr>
              <w:t>信息类别：</w:t>
            </w:r>
          </w:p>
        </w:tc>
        <w:tc>
          <w:tcPr>
            <w:tcW w:w="0" w:type="auto"/>
            <w:gridSpan w:val="3"/>
            <w:hideMark/>
          </w:tcPr>
          <w:p w:rsidR="002E70C5" w:rsidRPr="002E70C5" w:rsidRDefault="002E70C5" w:rsidP="002E70C5">
            <w:pPr>
              <w:widowControl/>
              <w:spacing w:line="300" w:lineRule="exact"/>
              <w:jc w:val="left"/>
              <w:rPr>
                <w:rFonts w:ascii="宋体" w:eastAsia="宋体" w:hAnsi="宋体" w:cs="宋体" w:hint="eastAsia"/>
                <w:color w:val="4B4B4B"/>
                <w:kern w:val="0"/>
                <w:szCs w:val="21"/>
              </w:rPr>
            </w:pPr>
            <w:r w:rsidRPr="002E70C5">
              <w:rPr>
                <w:rFonts w:ascii="宋体" w:eastAsia="宋体" w:hAnsi="宋体" w:cs="宋体" w:hint="eastAsia"/>
                <w:color w:val="4B4B4B"/>
                <w:kern w:val="0"/>
                <w:szCs w:val="21"/>
              </w:rPr>
              <w:t>教育综合管理</w:t>
            </w:r>
          </w:p>
        </w:tc>
      </w:tr>
      <w:tr w:rsidR="002E70C5" w:rsidRPr="002E70C5" w:rsidTr="002E70C5">
        <w:trPr>
          <w:tblCellSpacing w:w="0" w:type="dxa"/>
        </w:trPr>
        <w:tc>
          <w:tcPr>
            <w:tcW w:w="500" w:type="pct"/>
            <w:hideMark/>
          </w:tcPr>
          <w:p w:rsidR="002E70C5" w:rsidRPr="002E70C5" w:rsidRDefault="002E70C5" w:rsidP="002E70C5">
            <w:pPr>
              <w:widowControl/>
              <w:spacing w:line="300" w:lineRule="exact"/>
              <w:jc w:val="left"/>
              <w:rPr>
                <w:rFonts w:ascii="宋体" w:eastAsia="宋体" w:hAnsi="宋体" w:cs="宋体" w:hint="eastAsia"/>
                <w:b/>
                <w:bCs/>
                <w:color w:val="4B4B4B"/>
                <w:kern w:val="0"/>
                <w:szCs w:val="21"/>
              </w:rPr>
            </w:pPr>
            <w:r w:rsidRPr="002E70C5">
              <w:rPr>
                <w:rFonts w:ascii="宋体" w:eastAsia="宋体" w:hAnsi="宋体" w:cs="宋体" w:hint="eastAsia"/>
                <w:b/>
                <w:bCs/>
                <w:color w:val="4B4B4B"/>
                <w:kern w:val="0"/>
                <w:szCs w:val="21"/>
              </w:rPr>
              <w:t>内容概述：</w:t>
            </w:r>
          </w:p>
        </w:tc>
        <w:tc>
          <w:tcPr>
            <w:tcW w:w="0" w:type="auto"/>
            <w:gridSpan w:val="5"/>
            <w:hideMark/>
          </w:tcPr>
          <w:p w:rsidR="002E70C5" w:rsidRPr="002E70C5" w:rsidRDefault="002E70C5" w:rsidP="002E70C5">
            <w:pPr>
              <w:widowControl/>
              <w:spacing w:line="300" w:lineRule="exact"/>
              <w:jc w:val="left"/>
              <w:rPr>
                <w:rFonts w:ascii="宋体" w:eastAsia="宋体" w:hAnsi="宋体" w:cs="宋体" w:hint="eastAsia"/>
                <w:color w:val="4B4B4B"/>
                <w:kern w:val="0"/>
                <w:szCs w:val="21"/>
              </w:rPr>
            </w:pPr>
            <w:r w:rsidRPr="002E70C5">
              <w:rPr>
                <w:rFonts w:ascii="宋体" w:eastAsia="宋体" w:hAnsi="宋体" w:cs="宋体" w:hint="eastAsia"/>
                <w:color w:val="4B4B4B"/>
                <w:kern w:val="0"/>
                <w:szCs w:val="21"/>
              </w:rPr>
              <w:t>教育部印发《本科毕业论文（设计）抽检办法（试行）》。</w:t>
            </w:r>
          </w:p>
        </w:tc>
      </w:tr>
    </w:tbl>
    <w:p w:rsidR="002E70C5" w:rsidRPr="002E70C5" w:rsidRDefault="002E70C5" w:rsidP="002E70C5">
      <w:pPr>
        <w:widowControl/>
        <w:shd w:val="clear" w:color="auto" w:fill="FFFFFF"/>
        <w:spacing w:line="400" w:lineRule="exact"/>
        <w:jc w:val="left"/>
        <w:rPr>
          <w:rFonts w:ascii="微软雅黑" w:eastAsia="微软雅黑" w:hAnsi="微软雅黑" w:cs="宋体" w:hint="eastAsia"/>
          <w:vanish/>
          <w:kern w:val="0"/>
          <w:sz w:val="24"/>
          <w:szCs w:val="24"/>
        </w:rPr>
      </w:pPr>
      <w:bookmarkStart w:id="0" w:name="_GoBack"/>
      <w:r w:rsidRPr="002E70C5">
        <w:rPr>
          <w:rFonts w:ascii="微软雅黑" w:eastAsia="微软雅黑" w:hAnsi="微软雅黑" w:cs="宋体" w:hint="eastAsia"/>
          <w:vanish/>
          <w:kern w:val="0"/>
          <w:sz w:val="24"/>
          <w:szCs w:val="24"/>
        </w:rPr>
        <w:t>信息公开_部文</w:t>
      </w:r>
    </w:p>
    <w:p w:rsidR="002E70C5" w:rsidRPr="002E70C5" w:rsidRDefault="002E70C5" w:rsidP="002E70C5">
      <w:pPr>
        <w:widowControl/>
        <w:shd w:val="clear" w:color="auto" w:fill="FFFFFF"/>
        <w:spacing w:before="100" w:beforeAutospacing="1" w:after="100" w:afterAutospacing="1" w:line="400" w:lineRule="exact"/>
        <w:jc w:val="center"/>
        <w:outlineLvl w:val="1"/>
        <w:rPr>
          <w:rFonts w:ascii="微软雅黑" w:eastAsia="微软雅黑" w:hAnsi="微软雅黑" w:cs="宋体" w:hint="eastAsia"/>
          <w:b/>
          <w:bCs/>
          <w:color w:val="4B4B4B"/>
          <w:kern w:val="36"/>
          <w:sz w:val="30"/>
          <w:szCs w:val="30"/>
        </w:rPr>
      </w:pPr>
      <w:r w:rsidRPr="002E70C5">
        <w:rPr>
          <w:rFonts w:ascii="微软雅黑" w:eastAsia="微软雅黑" w:hAnsi="微软雅黑" w:cs="宋体" w:hint="eastAsia"/>
          <w:b/>
          <w:bCs/>
          <w:color w:val="4B4B4B"/>
          <w:kern w:val="36"/>
          <w:sz w:val="30"/>
          <w:szCs w:val="30"/>
        </w:rPr>
        <w:t>教育部关于印发《本科毕业论文（设计）</w:t>
      </w:r>
      <w:r w:rsidRPr="002E70C5">
        <w:rPr>
          <w:rFonts w:ascii="微软雅黑" w:eastAsia="微软雅黑" w:hAnsi="微软雅黑" w:cs="宋体" w:hint="eastAsia"/>
          <w:b/>
          <w:bCs/>
          <w:color w:val="4B4B4B"/>
          <w:kern w:val="36"/>
          <w:sz w:val="30"/>
          <w:szCs w:val="30"/>
        </w:rPr>
        <w:br/>
        <w:t>抽检办法（试行）》的通知</w:t>
      </w:r>
      <w:bookmarkEnd w:id="0"/>
    </w:p>
    <w:p w:rsidR="002E70C5" w:rsidRPr="002E70C5" w:rsidRDefault="002E70C5" w:rsidP="002E70C5">
      <w:pPr>
        <w:widowControl/>
        <w:shd w:val="clear" w:color="auto" w:fill="FFFFFF"/>
        <w:spacing w:before="100" w:beforeAutospacing="1" w:after="100" w:afterAutospacing="1" w:line="300" w:lineRule="exact"/>
        <w:jc w:val="righ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教督〔2020〕5号</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为贯彻落实《深化新时代教育评价改革总体方案》和《关于深化新时代教育督导体制机制改革的意见》，加强和改进教育督导评估监测，保证本科人才培养基本质量，特制定《本科毕业论文（设计）抽检办法（试行）》。现将该办法印发给你们，请遵照执行。</w:t>
      </w:r>
    </w:p>
    <w:p w:rsidR="002E70C5" w:rsidRPr="002E70C5" w:rsidRDefault="002E70C5" w:rsidP="002E70C5">
      <w:pPr>
        <w:widowControl/>
        <w:shd w:val="clear" w:color="auto" w:fill="FFFFFF"/>
        <w:spacing w:before="100" w:beforeAutospacing="1" w:after="100" w:afterAutospacing="1" w:line="300" w:lineRule="exact"/>
        <w:jc w:val="righ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教育部</w:t>
      </w:r>
    </w:p>
    <w:p w:rsidR="002E70C5" w:rsidRPr="002E70C5" w:rsidRDefault="002E70C5" w:rsidP="002E70C5">
      <w:pPr>
        <w:widowControl/>
        <w:shd w:val="clear" w:color="auto" w:fill="FFFFFF"/>
        <w:spacing w:before="100" w:beforeAutospacing="1" w:after="100" w:afterAutospacing="1" w:line="300" w:lineRule="exact"/>
        <w:jc w:val="righ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2020年12月24日</w:t>
      </w:r>
    </w:p>
    <w:p w:rsidR="002E70C5" w:rsidRPr="002E70C5" w:rsidRDefault="002E70C5" w:rsidP="002E70C5">
      <w:pPr>
        <w:widowControl/>
        <w:shd w:val="clear" w:color="auto" w:fill="FFFFFF"/>
        <w:spacing w:before="100" w:beforeAutospacing="1" w:after="100" w:afterAutospacing="1" w:line="300" w:lineRule="exact"/>
        <w:jc w:val="center"/>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b/>
          <w:bCs/>
          <w:color w:val="4B4B4B"/>
          <w:kern w:val="0"/>
          <w:sz w:val="24"/>
          <w:szCs w:val="24"/>
        </w:rPr>
        <w:t>本科毕业论文（设计）抽检办法（试行）</w:t>
      </w:r>
    </w:p>
    <w:p w:rsidR="002E70C5" w:rsidRPr="002E70C5" w:rsidRDefault="002E70C5" w:rsidP="002E70C5">
      <w:pPr>
        <w:widowControl/>
        <w:shd w:val="clear" w:color="auto" w:fill="FFFFFF"/>
        <w:spacing w:before="100" w:beforeAutospacing="1" w:after="100" w:afterAutospacing="1" w:line="300" w:lineRule="exact"/>
        <w:jc w:val="center"/>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b/>
          <w:bCs/>
          <w:color w:val="4B4B4B"/>
          <w:kern w:val="0"/>
          <w:sz w:val="24"/>
          <w:szCs w:val="24"/>
        </w:rPr>
        <w:t>第一章 总则</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第一条 按照《深化新时代教育评价改革总体方案》和《关于深化新时代教育督导体制机制改革的意见》要求，为加强和改进教育督导评估监测，做好本科毕业论文（设计）（以下简称本科毕业论文）抽检工作，保证本科人才培养基本质量，制定本办法。</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第二条 教育部负责本科毕业论文抽检的统筹组织和监督，省级教育行政部门负责本地区本科毕业论文抽检的具体实施。其中，中国人民解放军有关部门负责军队系统本科毕业论文抽检的具体实施。</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第三条 本科毕业论文抽检工作应遵循独立、客观、科学、公正原则，任何单位和个人都不得以任何方式干扰抽检工作的正常进行。</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第四条 本科毕业论文抽检每年进行一次，抽检对象为上一学年度授予学士学位的论文，抽检比例原则上应不低于2%。</w:t>
      </w:r>
    </w:p>
    <w:p w:rsidR="002E70C5" w:rsidRPr="002E70C5" w:rsidRDefault="002E70C5" w:rsidP="002E70C5">
      <w:pPr>
        <w:widowControl/>
        <w:shd w:val="clear" w:color="auto" w:fill="FFFFFF"/>
        <w:spacing w:before="100" w:beforeAutospacing="1" w:after="100" w:afterAutospacing="1" w:line="300" w:lineRule="exact"/>
        <w:jc w:val="center"/>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b/>
          <w:bCs/>
          <w:color w:val="4B4B4B"/>
          <w:kern w:val="0"/>
          <w:sz w:val="24"/>
          <w:szCs w:val="24"/>
        </w:rPr>
        <w:t>第二章 评议要素和重点</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第五条 省级教育行政部门要参照《普通高等学校本科专业类教学质量国家标准》等要求，结合本地区工作实际，按照《普通高等学校本科专业目录（2020年版）》学科门类分别制定本科毕业论文抽检评议要素。</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lastRenderedPageBreak/>
        <w:t xml:space="preserve">　　第六条 本科毕业论文抽检应重点对选题意义、写作安排、逻辑构建、专业能力以及学术规范等进行考察。</w:t>
      </w:r>
    </w:p>
    <w:p w:rsidR="002E70C5" w:rsidRPr="002E70C5" w:rsidRDefault="002E70C5" w:rsidP="002E70C5">
      <w:pPr>
        <w:widowControl/>
        <w:shd w:val="clear" w:color="auto" w:fill="FFFFFF"/>
        <w:spacing w:before="100" w:beforeAutospacing="1" w:after="100" w:afterAutospacing="1" w:line="300" w:lineRule="exact"/>
        <w:jc w:val="center"/>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b/>
          <w:bCs/>
          <w:color w:val="4B4B4B"/>
          <w:kern w:val="0"/>
          <w:sz w:val="24"/>
          <w:szCs w:val="24"/>
        </w:rPr>
        <w:t>第三章 工作程序</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第七条 教育部建立全国本科毕业论文抽检信息平台（以下简称抽检信息平台），面向省级教育行政部门提供学术不端行为检测、毕业论文提取和专家评审等定制功能，对各省级教育行政部门开展本科毕业论文抽检工作实行全过程监督。</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第八条 省级教育行政部门基于抽检信息平台和本地区学士学位授予信息，采取随机抽取的方式确定抽检名单。抽检论文要覆盖本地区所有本科层次普通高校及其全部本科专业。</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第九条 省级教育行政部门利用抽检信息平台对抽检论文进行学术不端行为检测，检测结果供专家评审参考。</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第十条 省级教育行政部门采取随机匹配方式组织同行专家对抽检论文进行评议，提出评议意见。每篇论文送3位同行专家，3位专家中有2位以上（含2位）专家评议意见为“不合格”的毕业论文，将认定为“存在问题毕业论文”。3位专家中有1位专家评议意见为“不合格”，将再送2位同行专家进行复评。2位复评专家中有1位以上（含1位）专家评议意见为“不合格”，将认定为“存在问题毕业论文”。</w:t>
      </w:r>
    </w:p>
    <w:p w:rsidR="002E70C5" w:rsidRPr="002E70C5" w:rsidRDefault="002E70C5" w:rsidP="002E70C5">
      <w:pPr>
        <w:widowControl/>
        <w:shd w:val="clear" w:color="auto" w:fill="FFFFFF"/>
        <w:spacing w:before="100" w:beforeAutospacing="1" w:after="100" w:afterAutospacing="1" w:line="300" w:lineRule="exact"/>
        <w:jc w:val="center"/>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b/>
          <w:bCs/>
          <w:color w:val="4B4B4B"/>
          <w:kern w:val="0"/>
          <w:sz w:val="24"/>
          <w:szCs w:val="24"/>
        </w:rPr>
        <w:t>第四章 结果反馈与使用</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第十一条 本科毕业论文抽检结果由省级教育行政部门向有关高校反馈、抄送省级学位委员会，同时报教育部备案。</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第十二条 本科毕业论文抽检结果的使用。</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（一）抽检结果以适当方式向社会公开。</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二）对连续2年均有“存在问题毕业论文”，且比例较高或篇数较多的高校，省级教育行政部门应在本省域内予以通报，减少其招生计划，并进行质量约谈，提出限期整改要求。高校应对有关部门、学院和个人的人才培养责任落实情况进行调查，依据有关规定予以追责。</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（三）对连续3年抽检存在问题较多的本科专业，经整改仍无法达到要求者，视为不能保证培养质量，省级教育行政部门应依据有关规定责令其暂停招生，或由省级学位委员会撤销其学士学位授权点。</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（四）对涉嫌存在抄袭、剽窃、伪造、篡改、买卖、代写等学术不端行为的毕业论文，高校应按照相关程序进行调查核实，对查实的应依法撤销已授予学位，并注销学位证书。</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（五）抽检结果将作为本科教育教学评估、一流本科专业建设、本科专业认证以及专业建设经费投入等教育资源配置的重要参考依据。</w:t>
      </w:r>
    </w:p>
    <w:p w:rsidR="002E70C5" w:rsidRPr="002E70C5" w:rsidRDefault="002E70C5" w:rsidP="002E70C5">
      <w:pPr>
        <w:widowControl/>
        <w:shd w:val="clear" w:color="auto" w:fill="FFFFFF"/>
        <w:spacing w:before="100" w:beforeAutospacing="1" w:after="100" w:afterAutospacing="1" w:line="300" w:lineRule="exact"/>
        <w:jc w:val="center"/>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b/>
          <w:bCs/>
          <w:color w:val="4B4B4B"/>
          <w:kern w:val="0"/>
          <w:sz w:val="24"/>
          <w:szCs w:val="24"/>
        </w:rPr>
        <w:t>第五章 监督与保障</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lastRenderedPageBreak/>
        <w:t xml:space="preserve">　　第十三条 教育部定期对各省级教育行政部门本科毕业论文抽检工作情况开展监督检查，并将工作情况纳入省级人民政府履行教育职责评价的范畴。</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第十四条 省级教育行政部门应保障本科毕业论文抽检工作经费，列入年度工作预算，确保抽检工作顺利开展。</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第十五条 省级教育行政部门应建立本科毕业论文抽检申诉机制，规范申诉处理程序，保障有关高校和学生的合法权益。</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第十六条 各有关高校应按照所在地省级教育行政部门的有关要求，积极配合本科毕业论文抽检工作，准确完整地提供本科毕业论文、学位授予信息等材料。</w:t>
      </w:r>
    </w:p>
    <w:p w:rsidR="002E70C5" w:rsidRPr="002E70C5" w:rsidRDefault="002E70C5" w:rsidP="002E70C5">
      <w:pPr>
        <w:widowControl/>
        <w:shd w:val="clear" w:color="auto" w:fill="FFFFFF"/>
        <w:spacing w:before="100" w:beforeAutospacing="1" w:after="100" w:afterAutospacing="1" w:line="300" w:lineRule="exact"/>
        <w:jc w:val="center"/>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b/>
          <w:bCs/>
          <w:color w:val="4B4B4B"/>
          <w:kern w:val="0"/>
          <w:sz w:val="24"/>
          <w:szCs w:val="24"/>
        </w:rPr>
        <w:t>第六章 附则</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第十七条 省级教育行政部门要参照本办法，结合地方实际，制定本省（区、市）本科毕业论文抽检工作实施细则，并报教育部备案。</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第十八条 本办法由教育部负责解释。</w:t>
      </w:r>
    </w:p>
    <w:p w:rsidR="002E70C5" w:rsidRPr="002E70C5" w:rsidRDefault="002E70C5" w:rsidP="002E70C5">
      <w:pPr>
        <w:widowControl/>
        <w:shd w:val="clear" w:color="auto" w:fill="FFFFFF"/>
        <w:spacing w:before="100" w:beforeAutospacing="1" w:after="100" w:afterAutospacing="1" w:line="300" w:lineRule="exact"/>
        <w:jc w:val="left"/>
        <w:rPr>
          <w:rFonts w:ascii="微软雅黑" w:eastAsia="微软雅黑" w:hAnsi="微软雅黑" w:cs="宋体" w:hint="eastAsia"/>
          <w:color w:val="4B4B4B"/>
          <w:kern w:val="0"/>
          <w:sz w:val="24"/>
          <w:szCs w:val="24"/>
        </w:rPr>
      </w:pPr>
      <w:r w:rsidRPr="002E70C5">
        <w:rPr>
          <w:rFonts w:ascii="微软雅黑" w:eastAsia="微软雅黑" w:hAnsi="微软雅黑" w:cs="宋体" w:hint="eastAsia"/>
          <w:color w:val="4B4B4B"/>
          <w:kern w:val="0"/>
          <w:sz w:val="24"/>
          <w:szCs w:val="24"/>
        </w:rPr>
        <w:t xml:space="preserve">　　第十九条 本办法自2021年1月1日起施行。</w:t>
      </w:r>
    </w:p>
    <w:p w:rsidR="00794E37" w:rsidRPr="002E70C5" w:rsidRDefault="00794E37" w:rsidP="002E70C5">
      <w:pPr>
        <w:spacing w:line="300" w:lineRule="exact"/>
      </w:pPr>
    </w:p>
    <w:sectPr w:rsidR="00794E37" w:rsidRPr="002E70C5" w:rsidSect="002E70C5">
      <w:pgSz w:w="11906" w:h="16838"/>
      <w:pgMar w:top="1440" w:right="1077" w:bottom="1440"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C5"/>
    <w:rsid w:val="002E70C5"/>
    <w:rsid w:val="00794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53F7"/>
  <w15:chartTrackingRefBased/>
  <w15:docId w15:val="{29D53C85-7B84-46F1-BDDE-C4BFEBA2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0C5"/>
    <w:rPr>
      <w:sz w:val="18"/>
      <w:szCs w:val="18"/>
    </w:rPr>
  </w:style>
  <w:style w:type="character" w:customStyle="1" w:styleId="a4">
    <w:name w:val="批注框文本 字符"/>
    <w:basedOn w:val="a0"/>
    <w:link w:val="a3"/>
    <w:uiPriority w:val="99"/>
    <w:semiHidden/>
    <w:rsid w:val="002E70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81584">
      <w:bodyDiv w:val="1"/>
      <w:marLeft w:val="0"/>
      <w:marRight w:val="0"/>
      <w:marTop w:val="0"/>
      <w:marBottom w:val="0"/>
      <w:divBdr>
        <w:top w:val="none" w:sz="0" w:space="0" w:color="auto"/>
        <w:left w:val="none" w:sz="0" w:space="0" w:color="auto"/>
        <w:bottom w:val="none" w:sz="0" w:space="0" w:color="auto"/>
        <w:right w:val="none" w:sz="0" w:space="0" w:color="auto"/>
      </w:divBdr>
      <w:divsChild>
        <w:div w:id="428356414">
          <w:marLeft w:val="0"/>
          <w:marRight w:val="0"/>
          <w:marTop w:val="0"/>
          <w:marBottom w:val="0"/>
          <w:divBdr>
            <w:top w:val="none" w:sz="0" w:space="0" w:color="auto"/>
            <w:left w:val="none" w:sz="0" w:space="0" w:color="auto"/>
            <w:bottom w:val="none" w:sz="0" w:space="0" w:color="auto"/>
            <w:right w:val="none" w:sz="0" w:space="0" w:color="auto"/>
          </w:divBdr>
          <w:divsChild>
            <w:div w:id="518275147">
              <w:marLeft w:val="0"/>
              <w:marRight w:val="0"/>
              <w:marTop w:val="0"/>
              <w:marBottom w:val="0"/>
              <w:divBdr>
                <w:top w:val="none" w:sz="0" w:space="0" w:color="auto"/>
                <w:left w:val="none" w:sz="0" w:space="0" w:color="auto"/>
                <w:bottom w:val="none" w:sz="0" w:space="0" w:color="auto"/>
                <w:right w:val="none" w:sz="0" w:space="0" w:color="auto"/>
              </w:divBdr>
              <w:divsChild>
                <w:div w:id="746806149">
                  <w:marLeft w:val="0"/>
                  <w:marRight w:val="0"/>
                  <w:marTop w:val="0"/>
                  <w:marBottom w:val="0"/>
                  <w:divBdr>
                    <w:top w:val="single" w:sz="6" w:space="31" w:color="BCBCBC"/>
                    <w:left w:val="single" w:sz="6" w:space="31" w:color="BCBCBC"/>
                    <w:bottom w:val="single" w:sz="6" w:space="15" w:color="BCBCBC"/>
                    <w:right w:val="single" w:sz="6" w:space="31" w:color="BCBCBC"/>
                  </w:divBdr>
                  <w:divsChild>
                    <w:div w:id="1129394958">
                      <w:marLeft w:val="0"/>
                      <w:marRight w:val="0"/>
                      <w:marTop w:val="0"/>
                      <w:marBottom w:val="0"/>
                      <w:divBdr>
                        <w:top w:val="none" w:sz="0" w:space="0" w:color="auto"/>
                        <w:left w:val="none" w:sz="0" w:space="0" w:color="auto"/>
                        <w:bottom w:val="none" w:sz="0" w:space="0" w:color="auto"/>
                        <w:right w:val="none" w:sz="0" w:space="0" w:color="auto"/>
                      </w:divBdr>
                      <w:divsChild>
                        <w:div w:id="1040590481">
                          <w:marLeft w:val="0"/>
                          <w:marRight w:val="0"/>
                          <w:marTop w:val="0"/>
                          <w:marBottom w:val="0"/>
                          <w:divBdr>
                            <w:top w:val="none" w:sz="0" w:space="0" w:color="auto"/>
                            <w:left w:val="none" w:sz="0" w:space="0" w:color="auto"/>
                            <w:bottom w:val="none" w:sz="0" w:space="0" w:color="auto"/>
                            <w:right w:val="none" w:sz="0" w:space="0" w:color="auto"/>
                          </w:divBdr>
                        </w:div>
                        <w:div w:id="11223069">
                          <w:marLeft w:val="0"/>
                          <w:marRight w:val="0"/>
                          <w:marTop w:val="0"/>
                          <w:marBottom w:val="0"/>
                          <w:divBdr>
                            <w:top w:val="none" w:sz="0" w:space="0" w:color="auto"/>
                            <w:left w:val="none" w:sz="0" w:space="0" w:color="auto"/>
                            <w:bottom w:val="none" w:sz="0" w:space="0" w:color="auto"/>
                            <w:right w:val="none" w:sz="0" w:space="0" w:color="auto"/>
                          </w:divBdr>
                          <w:divsChild>
                            <w:div w:id="3590934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1C74E-9F1B-4BAC-B2D9-0DDF2291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327</Words>
  <Characters>1867</Characters>
  <Application>Microsoft Office Word</Application>
  <DocSecurity>0</DocSecurity>
  <Lines>15</Lines>
  <Paragraphs>4</Paragraphs>
  <ScaleCrop>false</ScaleCrop>
  <Company>china</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2022-08-23T03:08:00Z</cp:lastPrinted>
  <dcterms:created xsi:type="dcterms:W3CDTF">2022-08-23T03:06:00Z</dcterms:created>
  <dcterms:modified xsi:type="dcterms:W3CDTF">2022-08-23T03:13:00Z</dcterms:modified>
</cp:coreProperties>
</file>